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B158D9" w:rsidRDefault="00A95674" w:rsidP="00A95674">
      <w:pPr>
        <w:jc w:val="center"/>
        <w:rPr>
          <w:rFonts w:asciiTheme="majorHAnsi" w:hAnsiTheme="majorHAnsi" w:cstheme="majorHAnsi"/>
          <w:sz w:val="24"/>
          <w:szCs w:val="24"/>
        </w:rPr>
      </w:pPr>
      <w:r w:rsidRPr="00B158D9">
        <w:rPr>
          <w:rFonts w:asciiTheme="majorHAnsi" w:hAnsiTheme="majorHAnsi" w:cstheme="majorHAnsi"/>
          <w:sz w:val="24"/>
          <w:szCs w:val="24"/>
        </w:rPr>
        <w:t>Statement of Consideration (SOC)</w:t>
      </w:r>
    </w:p>
    <w:p w14:paraId="69E42907" w14:textId="79FAA86F" w:rsidR="004A49AB" w:rsidRPr="00B158D9" w:rsidRDefault="00A95674">
      <w:pPr>
        <w:rPr>
          <w:rFonts w:asciiTheme="majorHAnsi" w:hAnsiTheme="majorHAnsi" w:cstheme="majorHAnsi"/>
          <w:sz w:val="24"/>
          <w:szCs w:val="24"/>
        </w:rPr>
      </w:pPr>
      <w:r w:rsidRPr="00B158D9">
        <w:rPr>
          <w:rFonts w:asciiTheme="majorHAnsi" w:hAnsiTheme="majorHAnsi" w:cstheme="majorHAnsi"/>
          <w:sz w:val="24"/>
          <w:szCs w:val="24"/>
        </w:rPr>
        <w:t>PPTL 20-</w:t>
      </w:r>
      <w:r w:rsidR="008F5B85">
        <w:rPr>
          <w:rFonts w:asciiTheme="majorHAnsi" w:hAnsiTheme="majorHAnsi" w:cstheme="majorHAnsi"/>
          <w:sz w:val="24"/>
          <w:szCs w:val="24"/>
        </w:rPr>
        <w:t>29</w:t>
      </w:r>
      <w:r w:rsidR="00FE3CA8" w:rsidRPr="00B158D9">
        <w:rPr>
          <w:rFonts w:asciiTheme="majorHAnsi" w:hAnsiTheme="majorHAnsi" w:cstheme="majorHAnsi"/>
          <w:sz w:val="24"/>
          <w:szCs w:val="24"/>
        </w:rPr>
        <w:t xml:space="preserve"> SOP</w:t>
      </w:r>
      <w:r w:rsidR="00D00960" w:rsidRPr="00B158D9">
        <w:rPr>
          <w:rFonts w:asciiTheme="majorHAnsi" w:hAnsiTheme="majorHAnsi" w:cstheme="majorHAnsi"/>
          <w:sz w:val="24"/>
          <w:szCs w:val="24"/>
        </w:rPr>
        <w:t xml:space="preserve"> 19.3.1 and SOP 20.8</w:t>
      </w:r>
      <w:r w:rsidR="003A615A" w:rsidRPr="00B158D9">
        <w:rPr>
          <w:rFonts w:asciiTheme="majorHAnsi" w:hAnsiTheme="majorHAnsi" w:cstheme="majorHAnsi"/>
          <w:sz w:val="24"/>
          <w:szCs w:val="24"/>
        </w:rPr>
        <w:t>.</w:t>
      </w:r>
      <w:r w:rsidR="003D39A4" w:rsidRPr="00B158D9">
        <w:rPr>
          <w:rFonts w:asciiTheme="majorHAnsi" w:hAnsiTheme="majorHAnsi" w:cstheme="majorHAnsi"/>
          <w:sz w:val="24"/>
          <w:szCs w:val="24"/>
        </w:rPr>
        <w:t xml:space="preserve"> </w:t>
      </w:r>
      <w:r w:rsidR="00C44A31" w:rsidRPr="00B158D9">
        <w:rPr>
          <w:rFonts w:asciiTheme="majorHAnsi" w:hAnsiTheme="majorHAnsi" w:cstheme="majorHAnsi"/>
          <w:sz w:val="24"/>
          <w:szCs w:val="24"/>
        </w:rPr>
        <w:t xml:space="preserve"> </w:t>
      </w:r>
      <w:r w:rsidRPr="00B158D9">
        <w:rPr>
          <w:rFonts w:asciiTheme="majorHAnsi" w:hAnsiTheme="majorHAnsi" w:cstheme="majorHAnsi"/>
          <w:sz w:val="24"/>
          <w:szCs w:val="24"/>
        </w:rPr>
        <w:t>The following comments were received in response to SOP drafts sent for field review.  Thanks to those who reviewed and commented.  Comments about typographical and grammatical errors are excluded; these errors have been corrected as appropriate</w:t>
      </w:r>
    </w:p>
    <w:p w14:paraId="67606425" w14:textId="76E29A5B" w:rsidR="00FF0720" w:rsidRPr="00B158D9" w:rsidRDefault="007B5F03" w:rsidP="00FF0720">
      <w:pPr>
        <w:rPr>
          <w:rFonts w:asciiTheme="majorHAnsi" w:hAnsiTheme="majorHAnsi" w:cstheme="majorHAnsi"/>
          <w:b/>
          <w:sz w:val="24"/>
          <w:szCs w:val="24"/>
          <w:u w:val="single"/>
        </w:rPr>
      </w:pPr>
      <w:r w:rsidRPr="00B158D9">
        <w:rPr>
          <w:rFonts w:asciiTheme="majorHAnsi" w:hAnsiTheme="majorHAnsi" w:cstheme="majorHAnsi"/>
          <w:b/>
          <w:sz w:val="24"/>
          <w:szCs w:val="24"/>
          <w:u w:val="single"/>
        </w:rPr>
        <w:t xml:space="preserve">SOP </w:t>
      </w:r>
      <w:r w:rsidR="00D00960" w:rsidRPr="00B158D9">
        <w:rPr>
          <w:rFonts w:asciiTheme="majorHAnsi" w:hAnsiTheme="majorHAnsi" w:cstheme="majorHAnsi"/>
          <w:b/>
          <w:sz w:val="24"/>
          <w:szCs w:val="24"/>
          <w:u w:val="single"/>
        </w:rPr>
        <w:t>19.3.1 Accepting and Assigning Reports Involving the Department for Aging and Independent Living (DAIL) Division of Guardianship Employees</w:t>
      </w:r>
    </w:p>
    <w:p w14:paraId="55974604" w14:textId="0878ACEC" w:rsidR="00D00960" w:rsidRPr="00B158D9" w:rsidRDefault="00A56E8E" w:rsidP="00BE2E0A">
      <w:pPr>
        <w:pStyle w:val="ListParagraph"/>
        <w:numPr>
          <w:ilvl w:val="0"/>
          <w:numId w:val="19"/>
        </w:numPr>
        <w:rPr>
          <w:rFonts w:asciiTheme="majorHAnsi" w:hAnsiTheme="majorHAnsi" w:cstheme="majorHAnsi"/>
          <w:color w:val="1F497D"/>
          <w:sz w:val="24"/>
          <w:szCs w:val="24"/>
        </w:rPr>
      </w:pPr>
      <w:r w:rsidRPr="00B158D9">
        <w:rPr>
          <w:rFonts w:asciiTheme="majorHAnsi" w:hAnsiTheme="majorHAnsi" w:cstheme="majorHAnsi"/>
          <w:b/>
          <w:sz w:val="24"/>
          <w:szCs w:val="24"/>
        </w:rPr>
        <w:t>Comment</w:t>
      </w:r>
      <w:r w:rsidR="00E07F79" w:rsidRPr="00B158D9">
        <w:rPr>
          <w:rFonts w:asciiTheme="majorHAnsi" w:hAnsiTheme="majorHAnsi" w:cstheme="majorHAnsi"/>
          <w:b/>
          <w:sz w:val="24"/>
          <w:szCs w:val="24"/>
        </w:rPr>
        <w:t>:</w:t>
      </w:r>
      <w:r w:rsidR="00E07F79" w:rsidRPr="00B158D9">
        <w:rPr>
          <w:rFonts w:asciiTheme="majorHAnsi" w:hAnsiTheme="majorHAnsi" w:cstheme="majorHAnsi"/>
          <w:sz w:val="24"/>
          <w:szCs w:val="24"/>
        </w:rPr>
        <w:t xml:space="preserve"> </w:t>
      </w:r>
      <w:r w:rsidR="00D00960" w:rsidRPr="00B158D9">
        <w:rPr>
          <w:rFonts w:asciiTheme="majorHAnsi" w:hAnsiTheme="majorHAnsi" w:cstheme="majorHAnsi"/>
          <w:sz w:val="24"/>
          <w:szCs w:val="24"/>
        </w:rPr>
        <w:t xml:space="preserve"> Where they removed the word Neglect: </w:t>
      </w:r>
      <w:r w:rsidR="00BE2E0A" w:rsidRPr="00B158D9">
        <w:rPr>
          <w:rFonts w:asciiTheme="majorHAnsi" w:hAnsiTheme="majorHAnsi" w:cstheme="majorHAnsi"/>
          <w:sz w:val="24"/>
          <w:szCs w:val="24"/>
        </w:rPr>
        <w:t xml:space="preserve">Does that mean it doesn’t apply for </w:t>
      </w:r>
      <w:bookmarkStart w:id="0" w:name="_GoBack"/>
      <w:bookmarkEnd w:id="0"/>
      <w:r w:rsidR="00BE2E0A" w:rsidRPr="00B158D9">
        <w:rPr>
          <w:rFonts w:asciiTheme="majorHAnsi" w:hAnsiTheme="majorHAnsi" w:cstheme="majorHAnsi"/>
          <w:sz w:val="24"/>
          <w:szCs w:val="24"/>
        </w:rPr>
        <w:t>neglect but only for abuse and exploitation?</w:t>
      </w:r>
    </w:p>
    <w:p w14:paraId="30533C36" w14:textId="20FDF8AB" w:rsidR="00BE2E0A" w:rsidRPr="00B158D9" w:rsidRDefault="00BE2E0A" w:rsidP="00BE2E0A">
      <w:pPr>
        <w:spacing w:before="100" w:beforeAutospacing="1" w:after="100" w:afterAutospacing="1"/>
        <w:ind w:left="720"/>
        <w:rPr>
          <w:rFonts w:asciiTheme="majorHAnsi" w:hAnsiTheme="majorHAnsi" w:cstheme="majorHAnsi"/>
          <w:color w:val="676767"/>
          <w:sz w:val="24"/>
          <w:szCs w:val="24"/>
        </w:rPr>
      </w:pPr>
      <w:r w:rsidRPr="00B158D9">
        <w:rPr>
          <w:rFonts w:asciiTheme="majorHAnsi" w:hAnsiTheme="majorHAnsi" w:cstheme="majorHAnsi"/>
          <w:color w:val="676767"/>
          <w:sz w:val="24"/>
          <w:szCs w:val="24"/>
        </w:rPr>
        <w:t>Introduction</w:t>
      </w:r>
    </w:p>
    <w:p w14:paraId="3FB81249" w14:textId="5832D6E3" w:rsidR="00D00960" w:rsidRPr="00B158D9" w:rsidRDefault="00D00960" w:rsidP="00BE2E0A">
      <w:pPr>
        <w:spacing w:before="100" w:beforeAutospacing="1" w:after="100" w:afterAutospacing="1"/>
        <w:ind w:left="720"/>
        <w:rPr>
          <w:rFonts w:asciiTheme="majorHAnsi" w:hAnsiTheme="majorHAnsi" w:cstheme="majorHAnsi"/>
          <w:color w:val="676767"/>
          <w:sz w:val="24"/>
          <w:szCs w:val="24"/>
        </w:rPr>
      </w:pPr>
      <w:r w:rsidRPr="00B158D9">
        <w:rPr>
          <w:rFonts w:asciiTheme="majorHAnsi" w:hAnsiTheme="majorHAnsi" w:cstheme="majorHAnsi"/>
          <w:color w:val="676767"/>
          <w:sz w:val="24"/>
          <w:szCs w:val="24"/>
        </w:rPr>
        <w:t xml:space="preserve">Investigations involving guardianship employees should be conducted objectively, with privacy and confidentiality that meets the public expectation for accountability.  The investigating region is responsible for all notifications set forth in this standard of practice (SOP).  The procedures below are utilized when a referral is received where a Department for Aging and Independent Living (DAIL)/Division of Guardianship Services (Guardianship) employee is identified as an alleged perpetrator of adult abuse </w:t>
      </w:r>
      <w:r w:rsidRPr="00B158D9">
        <w:rPr>
          <w:rFonts w:asciiTheme="majorHAnsi" w:hAnsiTheme="majorHAnsi" w:cstheme="majorHAnsi"/>
          <w:strike/>
          <w:color w:val="B05800"/>
          <w:sz w:val="24"/>
          <w:szCs w:val="24"/>
        </w:rPr>
        <w:t xml:space="preserve">neglect </w:t>
      </w:r>
      <w:r w:rsidRPr="00B158D9">
        <w:rPr>
          <w:rFonts w:asciiTheme="majorHAnsi" w:hAnsiTheme="majorHAnsi" w:cstheme="majorHAnsi"/>
          <w:color w:val="676767"/>
          <w:sz w:val="24"/>
          <w:szCs w:val="24"/>
        </w:rPr>
        <w:t>or financial exploitation of a person</w:t>
      </w:r>
      <w:r w:rsidRPr="00B158D9">
        <w:rPr>
          <w:rFonts w:asciiTheme="majorHAnsi" w:hAnsiTheme="majorHAnsi" w:cstheme="majorHAnsi"/>
          <w:b/>
          <w:bCs/>
          <w:color w:val="B05800"/>
          <w:sz w:val="24"/>
          <w:szCs w:val="24"/>
        </w:rPr>
        <w:t xml:space="preserve"> under state guardianship</w:t>
      </w:r>
      <w:r w:rsidRPr="00B158D9">
        <w:rPr>
          <w:rFonts w:asciiTheme="majorHAnsi" w:hAnsiTheme="majorHAnsi" w:cstheme="majorHAnsi"/>
          <w:b/>
          <w:bCs/>
          <w:color w:val="676767"/>
          <w:sz w:val="24"/>
          <w:szCs w:val="24"/>
        </w:rPr>
        <w:t>. </w:t>
      </w:r>
      <w:r w:rsidRPr="00B158D9">
        <w:rPr>
          <w:rFonts w:asciiTheme="majorHAnsi" w:hAnsiTheme="majorHAnsi" w:cstheme="majorHAnsi"/>
          <w:color w:val="676767"/>
          <w:sz w:val="24"/>
          <w:szCs w:val="24"/>
        </w:rPr>
        <w:t> </w:t>
      </w:r>
      <w:r w:rsidRPr="00B158D9">
        <w:rPr>
          <w:rFonts w:asciiTheme="majorHAnsi" w:hAnsiTheme="majorHAnsi" w:cstheme="majorHAnsi"/>
          <w:strike/>
          <w:color w:val="B05800"/>
          <w:sz w:val="24"/>
          <w:szCs w:val="24"/>
        </w:rPr>
        <w:t>state ward.</w:t>
      </w:r>
    </w:p>
    <w:p w14:paraId="1A90A210" w14:textId="0ECAFDD8" w:rsidR="00E67680" w:rsidRPr="00B158D9" w:rsidRDefault="006C2AC9" w:rsidP="00E67680">
      <w:pPr>
        <w:spacing w:before="100" w:beforeAutospacing="1" w:after="100" w:afterAutospacing="1" w:line="240" w:lineRule="auto"/>
        <w:ind w:left="720"/>
        <w:rPr>
          <w:rFonts w:asciiTheme="majorHAnsi" w:hAnsiTheme="majorHAnsi" w:cstheme="majorHAnsi"/>
          <w:sz w:val="24"/>
          <w:szCs w:val="24"/>
        </w:rPr>
      </w:pPr>
      <w:r w:rsidRPr="00B158D9">
        <w:rPr>
          <w:rFonts w:asciiTheme="majorHAnsi" w:hAnsiTheme="majorHAnsi" w:cstheme="majorHAnsi"/>
          <w:b/>
          <w:sz w:val="24"/>
          <w:szCs w:val="24"/>
        </w:rPr>
        <w:t xml:space="preserve">Response: </w:t>
      </w:r>
      <w:r w:rsidR="005F04A7" w:rsidRPr="00B158D9">
        <w:rPr>
          <w:rFonts w:asciiTheme="majorHAnsi" w:hAnsiTheme="majorHAnsi" w:cstheme="majorHAnsi"/>
          <w:color w:val="FF0000"/>
          <w:sz w:val="24"/>
          <w:szCs w:val="24"/>
        </w:rPr>
        <w:t xml:space="preserve"> </w:t>
      </w:r>
      <w:r w:rsidR="005F04A7" w:rsidRPr="00B158D9">
        <w:rPr>
          <w:rFonts w:asciiTheme="majorHAnsi" w:hAnsiTheme="majorHAnsi" w:cstheme="majorHAnsi"/>
          <w:sz w:val="24"/>
          <w:szCs w:val="24"/>
        </w:rPr>
        <w:t xml:space="preserve"> </w:t>
      </w:r>
      <w:r w:rsidR="00207351" w:rsidRPr="00B158D9">
        <w:rPr>
          <w:rFonts w:asciiTheme="majorHAnsi" w:hAnsiTheme="majorHAnsi" w:cstheme="majorHAnsi"/>
          <w:sz w:val="24"/>
          <w:szCs w:val="24"/>
        </w:rPr>
        <w:t>Yes, APS should only</w:t>
      </w:r>
      <w:r w:rsidR="002F2EBA" w:rsidRPr="00B158D9">
        <w:rPr>
          <w:rFonts w:asciiTheme="majorHAnsi" w:hAnsiTheme="majorHAnsi" w:cstheme="majorHAnsi"/>
          <w:sz w:val="24"/>
          <w:szCs w:val="24"/>
        </w:rPr>
        <w:t xml:space="preserve"> investigate reports of abus</w:t>
      </w:r>
      <w:r w:rsidR="00B02CA3" w:rsidRPr="00B158D9">
        <w:rPr>
          <w:rFonts w:asciiTheme="majorHAnsi" w:hAnsiTheme="majorHAnsi" w:cstheme="majorHAnsi"/>
          <w:sz w:val="24"/>
          <w:szCs w:val="24"/>
        </w:rPr>
        <w:t xml:space="preserve">e or </w:t>
      </w:r>
      <w:r w:rsidR="002F2EBA" w:rsidRPr="00B158D9">
        <w:rPr>
          <w:rFonts w:asciiTheme="majorHAnsi" w:hAnsiTheme="majorHAnsi" w:cstheme="majorHAnsi"/>
          <w:sz w:val="24"/>
          <w:szCs w:val="24"/>
        </w:rPr>
        <w:t>exploitation concerning</w:t>
      </w:r>
      <w:r w:rsidR="00B02CA3" w:rsidRPr="00B158D9">
        <w:rPr>
          <w:rFonts w:asciiTheme="majorHAnsi" w:hAnsiTheme="majorHAnsi" w:cstheme="majorHAnsi"/>
          <w:sz w:val="24"/>
          <w:szCs w:val="24"/>
        </w:rPr>
        <w:t xml:space="preserve"> state</w:t>
      </w:r>
      <w:r w:rsidR="002F2EBA" w:rsidRPr="00B158D9">
        <w:rPr>
          <w:rFonts w:asciiTheme="majorHAnsi" w:hAnsiTheme="majorHAnsi" w:cstheme="majorHAnsi"/>
          <w:sz w:val="24"/>
          <w:szCs w:val="24"/>
        </w:rPr>
        <w:t xml:space="preserve"> guardianship employees.  </w:t>
      </w:r>
      <w:r w:rsidR="0093141B" w:rsidRPr="00B158D9">
        <w:rPr>
          <w:rFonts w:asciiTheme="majorHAnsi" w:hAnsiTheme="majorHAnsi" w:cstheme="majorHAnsi"/>
          <w:sz w:val="24"/>
          <w:szCs w:val="24"/>
        </w:rPr>
        <w:t>The</w:t>
      </w:r>
      <w:r w:rsidR="002F2EBA" w:rsidRPr="00B158D9">
        <w:rPr>
          <w:rFonts w:asciiTheme="majorHAnsi" w:hAnsiTheme="majorHAnsi" w:cstheme="majorHAnsi"/>
          <w:sz w:val="24"/>
          <w:szCs w:val="24"/>
        </w:rPr>
        <w:t xml:space="preserve"> </w:t>
      </w:r>
      <w:r w:rsidR="008E5B7F">
        <w:rPr>
          <w:rFonts w:asciiTheme="majorHAnsi" w:hAnsiTheme="majorHAnsi" w:cstheme="majorHAnsi"/>
          <w:sz w:val="24"/>
          <w:szCs w:val="24"/>
        </w:rPr>
        <w:t>statute</w:t>
      </w:r>
      <w:r w:rsidR="002F2EBA" w:rsidRPr="00B158D9">
        <w:rPr>
          <w:rFonts w:asciiTheme="majorHAnsi" w:hAnsiTheme="majorHAnsi" w:cstheme="majorHAnsi"/>
          <w:sz w:val="24"/>
          <w:szCs w:val="24"/>
        </w:rPr>
        <w:t xml:space="preserve"> was revised in </w:t>
      </w:r>
      <w:r w:rsidR="00B02CA3" w:rsidRPr="00B158D9">
        <w:rPr>
          <w:rFonts w:asciiTheme="majorHAnsi" w:hAnsiTheme="majorHAnsi" w:cstheme="majorHAnsi"/>
          <w:sz w:val="24"/>
          <w:szCs w:val="24"/>
        </w:rPr>
        <w:t>2018</w:t>
      </w:r>
      <w:r w:rsidR="008E5B7F">
        <w:rPr>
          <w:rFonts w:asciiTheme="majorHAnsi" w:hAnsiTheme="majorHAnsi" w:cstheme="majorHAnsi"/>
          <w:sz w:val="24"/>
          <w:szCs w:val="24"/>
        </w:rPr>
        <w:t>;</w:t>
      </w:r>
      <w:r w:rsidR="00B02CA3" w:rsidRPr="00B158D9">
        <w:rPr>
          <w:rFonts w:asciiTheme="majorHAnsi" w:hAnsiTheme="majorHAnsi" w:cstheme="majorHAnsi"/>
          <w:sz w:val="24"/>
          <w:szCs w:val="24"/>
        </w:rPr>
        <w:t xml:space="preserve"> </w:t>
      </w:r>
      <w:r w:rsidR="0093141B" w:rsidRPr="00B158D9">
        <w:rPr>
          <w:rFonts w:asciiTheme="majorHAnsi" w:hAnsiTheme="majorHAnsi" w:cstheme="majorHAnsi"/>
          <w:sz w:val="24"/>
          <w:szCs w:val="24"/>
        </w:rPr>
        <w:t>per KRS 210.290 (3) the Cabinet shall not be assigned as a person’ care</w:t>
      </w:r>
      <w:r w:rsidR="00207351" w:rsidRPr="00B158D9">
        <w:rPr>
          <w:rFonts w:asciiTheme="majorHAnsi" w:hAnsiTheme="majorHAnsi" w:cstheme="majorHAnsi"/>
          <w:sz w:val="24"/>
          <w:szCs w:val="24"/>
        </w:rPr>
        <w:t xml:space="preserve">giver or custodian.  Due to the change in statute, APS standard of practice was revised </w:t>
      </w:r>
      <w:r w:rsidR="008E5B7F">
        <w:rPr>
          <w:rFonts w:asciiTheme="majorHAnsi" w:hAnsiTheme="majorHAnsi" w:cstheme="majorHAnsi"/>
          <w:sz w:val="24"/>
          <w:szCs w:val="24"/>
        </w:rPr>
        <w:t>to remove</w:t>
      </w:r>
      <w:r w:rsidR="0093141B" w:rsidRPr="00B158D9">
        <w:rPr>
          <w:rFonts w:asciiTheme="majorHAnsi" w:hAnsiTheme="majorHAnsi" w:cstheme="majorHAnsi"/>
          <w:sz w:val="24"/>
          <w:szCs w:val="24"/>
        </w:rPr>
        <w:t xml:space="preserve"> the word </w:t>
      </w:r>
      <w:r w:rsidR="00F050D6" w:rsidRPr="00B158D9">
        <w:rPr>
          <w:rFonts w:asciiTheme="majorHAnsi" w:hAnsiTheme="majorHAnsi" w:cstheme="majorHAnsi"/>
          <w:sz w:val="24"/>
          <w:szCs w:val="24"/>
        </w:rPr>
        <w:t>neglect</w:t>
      </w:r>
      <w:r w:rsidR="00F050D6">
        <w:rPr>
          <w:rFonts w:asciiTheme="majorHAnsi" w:hAnsiTheme="majorHAnsi" w:cstheme="majorHAnsi"/>
          <w:sz w:val="24"/>
          <w:szCs w:val="24"/>
        </w:rPr>
        <w:t>,</w:t>
      </w:r>
      <w:r w:rsidR="00F050D6" w:rsidRPr="00B158D9">
        <w:rPr>
          <w:rFonts w:asciiTheme="majorHAnsi" w:hAnsiTheme="majorHAnsi" w:cstheme="majorHAnsi"/>
          <w:sz w:val="24"/>
          <w:szCs w:val="24"/>
        </w:rPr>
        <w:t xml:space="preserve"> leaving</w:t>
      </w:r>
      <w:r w:rsidR="0093141B" w:rsidRPr="00B158D9">
        <w:rPr>
          <w:rFonts w:asciiTheme="majorHAnsi" w:hAnsiTheme="majorHAnsi" w:cstheme="majorHAnsi"/>
          <w:sz w:val="24"/>
          <w:szCs w:val="24"/>
        </w:rPr>
        <w:t xml:space="preserve"> ab</w:t>
      </w:r>
      <w:r w:rsidR="00207351" w:rsidRPr="00B158D9">
        <w:rPr>
          <w:rFonts w:asciiTheme="majorHAnsi" w:hAnsiTheme="majorHAnsi" w:cstheme="majorHAnsi"/>
          <w:sz w:val="24"/>
          <w:szCs w:val="24"/>
        </w:rPr>
        <w:t xml:space="preserve">use and exploitation because a person does </w:t>
      </w:r>
      <w:r w:rsidR="0093141B" w:rsidRPr="00B158D9">
        <w:rPr>
          <w:rFonts w:asciiTheme="majorHAnsi" w:hAnsiTheme="majorHAnsi" w:cstheme="majorHAnsi"/>
          <w:sz w:val="24"/>
          <w:szCs w:val="24"/>
        </w:rPr>
        <w:t xml:space="preserve">not have to be in a caretaking role to </w:t>
      </w:r>
      <w:r w:rsidR="00B158D9">
        <w:rPr>
          <w:rFonts w:asciiTheme="majorHAnsi" w:hAnsiTheme="majorHAnsi" w:cstheme="majorHAnsi"/>
          <w:sz w:val="24"/>
          <w:szCs w:val="24"/>
        </w:rPr>
        <w:t>be found guilty of abuse or exploitation of</w:t>
      </w:r>
      <w:r w:rsidR="0093141B" w:rsidRPr="00B158D9">
        <w:rPr>
          <w:rFonts w:asciiTheme="majorHAnsi" w:hAnsiTheme="majorHAnsi" w:cstheme="majorHAnsi"/>
          <w:sz w:val="24"/>
          <w:szCs w:val="24"/>
        </w:rPr>
        <w:t xml:space="preserve"> a vulnerable adult.  </w:t>
      </w:r>
    </w:p>
    <w:p w14:paraId="42173854" w14:textId="3A4D39D5" w:rsidR="00BE2E0A" w:rsidRPr="00B158D9" w:rsidRDefault="00E67680" w:rsidP="00B158D9">
      <w:pPr>
        <w:spacing w:before="100" w:beforeAutospacing="1" w:after="100" w:afterAutospacing="1" w:line="240" w:lineRule="auto"/>
        <w:ind w:left="720"/>
        <w:rPr>
          <w:rFonts w:asciiTheme="majorHAnsi" w:hAnsiTheme="majorHAnsi" w:cstheme="majorHAnsi"/>
          <w:sz w:val="24"/>
          <w:szCs w:val="24"/>
        </w:rPr>
      </w:pPr>
      <w:r w:rsidRPr="00B158D9">
        <w:rPr>
          <w:rFonts w:asciiTheme="majorHAnsi" w:hAnsiTheme="majorHAnsi" w:cstheme="majorHAnsi"/>
          <w:bCs/>
          <w:sz w:val="24"/>
          <w:szCs w:val="24"/>
        </w:rPr>
        <w:t>A</w:t>
      </w:r>
      <w:r w:rsidR="008E5B7F">
        <w:rPr>
          <w:rFonts w:asciiTheme="majorHAnsi" w:hAnsiTheme="majorHAnsi" w:cstheme="majorHAnsi"/>
          <w:bCs/>
          <w:sz w:val="24"/>
          <w:szCs w:val="24"/>
        </w:rPr>
        <w:t>dditionally,</w:t>
      </w:r>
      <w:r w:rsidRPr="00B158D9">
        <w:rPr>
          <w:rFonts w:asciiTheme="majorHAnsi" w:hAnsiTheme="majorHAnsi" w:cstheme="majorHAnsi"/>
          <w:bCs/>
          <w:sz w:val="24"/>
          <w:szCs w:val="24"/>
        </w:rPr>
        <w:t xml:space="preserve"> there is current language in SOP 19.3 under:  Criteria for Reports that are not Accepted #</w:t>
      </w:r>
      <w:r w:rsidR="00207351" w:rsidRPr="00B158D9">
        <w:rPr>
          <w:rFonts w:asciiTheme="majorHAnsi" w:hAnsiTheme="majorHAnsi" w:cstheme="majorHAnsi"/>
          <w:bCs/>
          <w:sz w:val="24"/>
          <w:szCs w:val="24"/>
        </w:rPr>
        <w:t xml:space="preserve">2:  </w:t>
      </w:r>
      <w:r w:rsidR="00207351" w:rsidRPr="00B158D9">
        <w:rPr>
          <w:rFonts w:asciiTheme="majorHAnsi" w:hAnsiTheme="majorHAnsi" w:cstheme="majorHAnsi"/>
          <w:sz w:val="24"/>
          <w:szCs w:val="24"/>
        </w:rPr>
        <w:t>The</w:t>
      </w:r>
      <w:r w:rsidRPr="00B158D9">
        <w:rPr>
          <w:rStyle w:val="Strong"/>
          <w:rFonts w:asciiTheme="majorHAnsi" w:hAnsiTheme="majorHAnsi" w:cstheme="majorHAnsi"/>
          <w:b w:val="0"/>
          <w:color w:val="212121"/>
          <w:sz w:val="24"/>
          <w:szCs w:val="24"/>
          <w:shd w:val="clear" w:color="auto" w:fill="FFFFFF"/>
        </w:rPr>
        <w:t xml:space="preserve"> reporting source reports caretaker neglect against state guardianship staff.  Per KRS 210.290 (3) </w:t>
      </w:r>
      <w:proofErr w:type="spellStart"/>
      <w:r w:rsidRPr="00B158D9">
        <w:rPr>
          <w:rStyle w:val="Strong"/>
          <w:rFonts w:asciiTheme="majorHAnsi" w:hAnsiTheme="majorHAnsi" w:cstheme="majorHAnsi"/>
          <w:b w:val="0"/>
          <w:color w:val="212121"/>
          <w:sz w:val="24"/>
          <w:szCs w:val="24"/>
          <w:shd w:val="clear" w:color="auto" w:fill="FFFFFF"/>
        </w:rPr>
        <w:t>b</w:t>
      </w:r>
      <w:proofErr w:type="spellEnd"/>
      <w:r w:rsidRPr="00B158D9">
        <w:rPr>
          <w:rStyle w:val="Strong"/>
          <w:rFonts w:asciiTheme="majorHAnsi" w:hAnsiTheme="majorHAnsi" w:cstheme="majorHAnsi"/>
          <w:b w:val="0"/>
          <w:color w:val="212121"/>
          <w:sz w:val="24"/>
          <w:szCs w:val="24"/>
          <w:shd w:val="clear" w:color="auto" w:fill="FFFFFF"/>
        </w:rPr>
        <w:t xml:space="preserve"> the cabinet shall not be assigned as a person's caregiver or custodian.</w:t>
      </w:r>
    </w:p>
    <w:p w14:paraId="78835E12" w14:textId="77777777" w:rsidR="00BE2E0A" w:rsidRPr="00B158D9" w:rsidRDefault="00BE2E0A" w:rsidP="00BE2E0A">
      <w:pPr>
        <w:pStyle w:val="ListParagraph"/>
        <w:numPr>
          <w:ilvl w:val="0"/>
          <w:numId w:val="19"/>
        </w:numPr>
        <w:spacing w:before="100" w:beforeAutospacing="1" w:after="100" w:afterAutospacing="1" w:line="240" w:lineRule="auto"/>
        <w:rPr>
          <w:rFonts w:asciiTheme="majorHAnsi" w:hAnsiTheme="majorHAnsi" w:cstheme="majorHAnsi"/>
          <w:sz w:val="24"/>
          <w:szCs w:val="24"/>
        </w:rPr>
      </w:pPr>
      <w:r w:rsidRPr="00B158D9">
        <w:rPr>
          <w:rFonts w:asciiTheme="majorHAnsi" w:hAnsiTheme="majorHAnsi" w:cstheme="majorHAnsi"/>
          <w:b/>
          <w:sz w:val="24"/>
          <w:szCs w:val="24"/>
        </w:rPr>
        <w:t>Comment</w:t>
      </w:r>
      <w:r w:rsidRPr="00B158D9">
        <w:rPr>
          <w:rFonts w:asciiTheme="majorHAnsi" w:hAnsiTheme="majorHAnsi" w:cstheme="majorHAnsi"/>
          <w:sz w:val="24"/>
          <w:szCs w:val="24"/>
        </w:rPr>
        <w:t>:  Since APS has a close working relationship with the Guardianship staff in the Region, does this mean these investigations will be assigned to neighboring Regions for their APS team to complete?</w:t>
      </w:r>
    </w:p>
    <w:p w14:paraId="20FA6626" w14:textId="7F7AFDDF" w:rsidR="00BE2E0A" w:rsidRPr="00B158D9" w:rsidRDefault="00BE2E0A" w:rsidP="00BE2E0A">
      <w:pPr>
        <w:pStyle w:val="ListParagraph"/>
        <w:spacing w:before="100" w:beforeAutospacing="1" w:after="100" w:afterAutospacing="1" w:line="240" w:lineRule="auto"/>
        <w:rPr>
          <w:rFonts w:asciiTheme="majorHAnsi" w:hAnsiTheme="majorHAnsi" w:cstheme="majorHAnsi"/>
          <w:sz w:val="24"/>
          <w:szCs w:val="24"/>
        </w:rPr>
      </w:pPr>
    </w:p>
    <w:p w14:paraId="4C3270C6" w14:textId="77777777" w:rsidR="00BE2E0A" w:rsidRPr="00B158D9" w:rsidRDefault="00BE2E0A" w:rsidP="00BE2E0A">
      <w:pPr>
        <w:pStyle w:val="ListParagraph"/>
        <w:spacing w:before="100" w:beforeAutospacing="1" w:after="100" w:afterAutospacing="1" w:line="240" w:lineRule="auto"/>
        <w:rPr>
          <w:rFonts w:asciiTheme="majorHAnsi" w:hAnsiTheme="majorHAnsi" w:cstheme="majorHAnsi"/>
          <w:sz w:val="24"/>
          <w:szCs w:val="24"/>
        </w:rPr>
      </w:pPr>
      <w:r w:rsidRPr="00B158D9">
        <w:rPr>
          <w:rFonts w:asciiTheme="majorHAnsi" w:hAnsiTheme="majorHAnsi" w:cstheme="majorHAnsi"/>
          <w:sz w:val="24"/>
          <w:szCs w:val="24"/>
        </w:rPr>
        <w:t xml:space="preserve">The CI FSOS or designee: </w:t>
      </w:r>
    </w:p>
    <w:p w14:paraId="4137A4F9" w14:textId="77777777" w:rsidR="00BE2E0A" w:rsidRPr="00B158D9" w:rsidRDefault="00BE2E0A" w:rsidP="00BE2E0A">
      <w:pPr>
        <w:pStyle w:val="ListParagraph"/>
        <w:numPr>
          <w:ilvl w:val="1"/>
          <w:numId w:val="19"/>
        </w:numPr>
        <w:spacing w:before="100" w:beforeAutospacing="1" w:after="100" w:afterAutospacing="1" w:line="240" w:lineRule="auto"/>
        <w:rPr>
          <w:rFonts w:asciiTheme="majorHAnsi" w:hAnsiTheme="majorHAnsi" w:cstheme="majorHAnsi"/>
          <w:sz w:val="24"/>
          <w:szCs w:val="24"/>
        </w:rPr>
      </w:pPr>
      <w:r w:rsidRPr="00B158D9">
        <w:rPr>
          <w:rFonts w:asciiTheme="majorHAnsi" w:hAnsiTheme="majorHAnsi" w:cstheme="majorHAnsi"/>
          <w:sz w:val="24"/>
          <w:szCs w:val="24"/>
        </w:rPr>
        <w:t xml:space="preserve">Contacts the CI branch manager, or designee, to discuss the intake determination prior to assignment.  </w:t>
      </w:r>
    </w:p>
    <w:p w14:paraId="66EE9CAB" w14:textId="77777777" w:rsidR="00BE2E0A" w:rsidRPr="00B158D9" w:rsidRDefault="00BE2E0A" w:rsidP="00BE2E0A">
      <w:pPr>
        <w:pStyle w:val="ListParagraph"/>
        <w:numPr>
          <w:ilvl w:val="1"/>
          <w:numId w:val="19"/>
        </w:numPr>
        <w:spacing w:before="100" w:beforeAutospacing="1" w:after="100" w:afterAutospacing="1" w:line="240" w:lineRule="auto"/>
        <w:rPr>
          <w:rFonts w:asciiTheme="majorHAnsi" w:hAnsiTheme="majorHAnsi" w:cstheme="majorHAnsi"/>
          <w:sz w:val="24"/>
          <w:szCs w:val="24"/>
        </w:rPr>
      </w:pPr>
      <w:r w:rsidRPr="00B158D9">
        <w:rPr>
          <w:rFonts w:asciiTheme="majorHAnsi" w:hAnsiTheme="majorHAnsi" w:cstheme="majorHAnsi"/>
          <w:sz w:val="24"/>
          <w:szCs w:val="24"/>
        </w:rPr>
        <w:t xml:space="preserve">Submits the Intake Summary via email (using PDF format) to the CI branch manager, or designee, within one (1) hour of receipt.  If further consultation is </w:t>
      </w:r>
      <w:r w:rsidRPr="00B158D9">
        <w:rPr>
          <w:rFonts w:asciiTheme="majorHAnsi" w:hAnsiTheme="majorHAnsi" w:cstheme="majorHAnsi"/>
          <w:sz w:val="24"/>
          <w:szCs w:val="24"/>
        </w:rPr>
        <w:lastRenderedPageBreak/>
        <w:t>needed, the CI FSOS contacts the Adult Protection Services (APS) branch manager, or designee.  After the consultation, the CI FSOS, or designee, completes the following steps:</w:t>
      </w:r>
    </w:p>
    <w:p w14:paraId="2C6A4CA6" w14:textId="6A234A84" w:rsidR="00BE2E0A" w:rsidRPr="00B158D9" w:rsidRDefault="00BE2E0A" w:rsidP="00BE2E0A">
      <w:pPr>
        <w:pStyle w:val="ListParagraph"/>
        <w:numPr>
          <w:ilvl w:val="0"/>
          <w:numId w:val="20"/>
        </w:numPr>
        <w:spacing w:before="100" w:beforeAutospacing="1" w:after="100" w:afterAutospacing="1" w:line="240" w:lineRule="auto"/>
        <w:rPr>
          <w:rFonts w:asciiTheme="majorHAnsi" w:hAnsiTheme="majorHAnsi" w:cstheme="majorHAnsi"/>
          <w:sz w:val="24"/>
          <w:szCs w:val="24"/>
          <w:highlight w:val="yellow"/>
        </w:rPr>
      </w:pPr>
      <w:r w:rsidRPr="00B158D9">
        <w:rPr>
          <w:rFonts w:asciiTheme="majorHAnsi" w:hAnsiTheme="majorHAnsi" w:cstheme="majorHAnsi"/>
          <w:sz w:val="24"/>
          <w:szCs w:val="24"/>
          <w:highlight w:val="yellow"/>
        </w:rPr>
        <w:t>Consults with the service region administrator (SRA), or designee, regarding the appropriate region for assignment of the investigation within prescribed timeframes;</w:t>
      </w:r>
    </w:p>
    <w:p w14:paraId="131EA344" w14:textId="196A35C8" w:rsidR="00BE2E0A" w:rsidRPr="00B158D9" w:rsidRDefault="00BE2E0A" w:rsidP="00BE2E0A">
      <w:pPr>
        <w:spacing w:before="100" w:beforeAutospacing="1" w:after="100" w:afterAutospacing="1" w:line="240" w:lineRule="auto"/>
        <w:rPr>
          <w:rFonts w:asciiTheme="majorHAnsi" w:hAnsiTheme="majorHAnsi" w:cstheme="majorHAnsi"/>
          <w:sz w:val="24"/>
          <w:szCs w:val="24"/>
        </w:rPr>
      </w:pPr>
    </w:p>
    <w:p w14:paraId="250F4561" w14:textId="6E8A3C51" w:rsidR="00E67680" w:rsidRPr="00B158D9" w:rsidRDefault="00BE2E0A" w:rsidP="00452A94">
      <w:pPr>
        <w:pStyle w:val="ListParagraph"/>
        <w:spacing w:before="100" w:beforeAutospacing="1" w:after="100" w:afterAutospacing="1" w:line="240" w:lineRule="auto"/>
        <w:rPr>
          <w:rFonts w:asciiTheme="majorHAnsi" w:hAnsiTheme="majorHAnsi" w:cstheme="majorHAnsi"/>
          <w:bCs/>
          <w:sz w:val="24"/>
          <w:szCs w:val="24"/>
        </w:rPr>
      </w:pPr>
      <w:r w:rsidRPr="00B158D9">
        <w:rPr>
          <w:rFonts w:asciiTheme="majorHAnsi" w:hAnsiTheme="majorHAnsi" w:cstheme="majorHAnsi"/>
          <w:b/>
          <w:sz w:val="24"/>
          <w:szCs w:val="24"/>
        </w:rPr>
        <w:t xml:space="preserve">Response:  </w:t>
      </w:r>
      <w:r w:rsidR="00207351" w:rsidRPr="00B158D9">
        <w:rPr>
          <w:rFonts w:asciiTheme="majorHAnsi" w:hAnsiTheme="majorHAnsi" w:cstheme="majorHAnsi"/>
          <w:sz w:val="24"/>
          <w:szCs w:val="24"/>
        </w:rPr>
        <w:t xml:space="preserve">It is possible that the investigations will be assigned to a neighboring region.   </w:t>
      </w:r>
      <w:r w:rsidR="00B158D9" w:rsidRPr="00B158D9">
        <w:rPr>
          <w:rFonts w:asciiTheme="majorHAnsi" w:hAnsiTheme="majorHAnsi" w:cstheme="majorHAnsi"/>
          <w:sz w:val="24"/>
          <w:szCs w:val="24"/>
        </w:rPr>
        <w:t>As a</w:t>
      </w:r>
      <w:r w:rsidR="00461B66" w:rsidRPr="00B158D9">
        <w:rPr>
          <w:rFonts w:asciiTheme="majorHAnsi" w:hAnsiTheme="majorHAnsi" w:cstheme="majorHAnsi"/>
          <w:bCs/>
          <w:sz w:val="24"/>
          <w:szCs w:val="24"/>
        </w:rPr>
        <w:t xml:space="preserve"> </w:t>
      </w:r>
      <w:r w:rsidR="00E67680" w:rsidRPr="00B158D9">
        <w:rPr>
          <w:rFonts w:asciiTheme="majorHAnsi" w:hAnsiTheme="majorHAnsi" w:cstheme="majorHAnsi"/>
          <w:bCs/>
          <w:sz w:val="24"/>
          <w:szCs w:val="24"/>
        </w:rPr>
        <w:t>part of the consultation process</w:t>
      </w:r>
      <w:r w:rsidR="00B158D9" w:rsidRPr="00B158D9">
        <w:rPr>
          <w:rFonts w:asciiTheme="majorHAnsi" w:hAnsiTheme="majorHAnsi" w:cstheme="majorHAnsi"/>
          <w:bCs/>
          <w:sz w:val="24"/>
          <w:szCs w:val="24"/>
        </w:rPr>
        <w:t xml:space="preserve">, </w:t>
      </w:r>
      <w:r w:rsidR="00207351" w:rsidRPr="00B158D9">
        <w:rPr>
          <w:rFonts w:asciiTheme="majorHAnsi" w:hAnsiTheme="majorHAnsi" w:cstheme="majorHAnsi"/>
          <w:bCs/>
          <w:sz w:val="24"/>
          <w:szCs w:val="24"/>
        </w:rPr>
        <w:t>the centralized intake</w:t>
      </w:r>
      <w:r w:rsidR="00452A94" w:rsidRPr="00B158D9">
        <w:rPr>
          <w:rFonts w:asciiTheme="majorHAnsi" w:hAnsiTheme="majorHAnsi" w:cstheme="majorHAnsi"/>
          <w:bCs/>
          <w:sz w:val="24"/>
          <w:szCs w:val="24"/>
        </w:rPr>
        <w:t xml:space="preserve"> FSOS or designee</w:t>
      </w:r>
      <w:r w:rsidR="00B158D9" w:rsidRPr="00B158D9">
        <w:rPr>
          <w:rFonts w:asciiTheme="majorHAnsi" w:hAnsiTheme="majorHAnsi" w:cstheme="majorHAnsi"/>
          <w:bCs/>
          <w:sz w:val="24"/>
          <w:szCs w:val="24"/>
        </w:rPr>
        <w:t xml:space="preserve"> should discuss with the SRA or designee the nature of the report and the relationship between </w:t>
      </w:r>
      <w:r w:rsidR="00E67680" w:rsidRPr="00B158D9">
        <w:rPr>
          <w:rFonts w:asciiTheme="majorHAnsi" w:hAnsiTheme="majorHAnsi" w:cstheme="majorHAnsi"/>
          <w:bCs/>
          <w:sz w:val="24"/>
          <w:szCs w:val="24"/>
        </w:rPr>
        <w:t>teams to determine if the repor</w:t>
      </w:r>
      <w:r w:rsidR="00B158D9" w:rsidRPr="00B158D9">
        <w:rPr>
          <w:rFonts w:asciiTheme="majorHAnsi" w:hAnsiTheme="majorHAnsi" w:cstheme="majorHAnsi"/>
          <w:bCs/>
          <w:sz w:val="24"/>
          <w:szCs w:val="24"/>
        </w:rPr>
        <w:t xml:space="preserve">t should remain in the region or be assigned to an </w:t>
      </w:r>
      <w:r w:rsidR="00E67680" w:rsidRPr="00B158D9">
        <w:rPr>
          <w:rFonts w:asciiTheme="majorHAnsi" w:hAnsiTheme="majorHAnsi" w:cstheme="majorHAnsi"/>
          <w:bCs/>
          <w:sz w:val="24"/>
          <w:szCs w:val="24"/>
        </w:rPr>
        <w:t>A</w:t>
      </w:r>
      <w:r w:rsidR="00B158D9" w:rsidRPr="00B158D9">
        <w:rPr>
          <w:rFonts w:asciiTheme="majorHAnsi" w:hAnsiTheme="majorHAnsi" w:cstheme="majorHAnsi"/>
          <w:bCs/>
          <w:sz w:val="24"/>
          <w:szCs w:val="24"/>
        </w:rPr>
        <w:t>PS team outside of the region</w:t>
      </w:r>
      <w:r w:rsidR="00E67680" w:rsidRPr="00B158D9">
        <w:rPr>
          <w:rFonts w:asciiTheme="majorHAnsi" w:hAnsiTheme="majorHAnsi" w:cstheme="majorHAnsi"/>
          <w:bCs/>
          <w:sz w:val="24"/>
          <w:szCs w:val="24"/>
        </w:rPr>
        <w:t>.</w:t>
      </w:r>
      <w:r w:rsidR="00452A94" w:rsidRPr="00B158D9">
        <w:rPr>
          <w:rFonts w:asciiTheme="majorHAnsi" w:hAnsiTheme="majorHAnsi" w:cstheme="majorHAnsi"/>
          <w:bCs/>
          <w:sz w:val="24"/>
          <w:szCs w:val="24"/>
        </w:rPr>
        <w:t xml:space="preserve">  DCBS </w:t>
      </w:r>
      <w:r w:rsidR="00B158D9" w:rsidRPr="00B158D9">
        <w:rPr>
          <w:rFonts w:asciiTheme="majorHAnsi" w:hAnsiTheme="majorHAnsi" w:cstheme="majorHAnsi"/>
          <w:bCs/>
          <w:sz w:val="24"/>
          <w:szCs w:val="24"/>
        </w:rPr>
        <w:t xml:space="preserve">teams </w:t>
      </w:r>
      <w:r w:rsidR="00452A94" w:rsidRPr="00B158D9">
        <w:rPr>
          <w:rFonts w:asciiTheme="majorHAnsi" w:hAnsiTheme="majorHAnsi" w:cstheme="majorHAnsi"/>
          <w:bCs/>
          <w:sz w:val="24"/>
          <w:szCs w:val="24"/>
        </w:rPr>
        <w:t xml:space="preserve">and </w:t>
      </w:r>
      <w:r w:rsidR="00B158D9" w:rsidRPr="00B158D9">
        <w:rPr>
          <w:rFonts w:asciiTheme="majorHAnsi" w:hAnsiTheme="majorHAnsi" w:cstheme="majorHAnsi"/>
          <w:bCs/>
          <w:sz w:val="24"/>
          <w:szCs w:val="24"/>
        </w:rPr>
        <w:t>g</w:t>
      </w:r>
      <w:r w:rsidR="00452A94" w:rsidRPr="00B158D9">
        <w:rPr>
          <w:rFonts w:asciiTheme="majorHAnsi" w:hAnsiTheme="majorHAnsi" w:cstheme="majorHAnsi"/>
          <w:bCs/>
          <w:sz w:val="24"/>
          <w:szCs w:val="24"/>
        </w:rPr>
        <w:t xml:space="preserve">uardianship </w:t>
      </w:r>
      <w:r w:rsidR="00490D8C" w:rsidRPr="00B158D9">
        <w:rPr>
          <w:rFonts w:asciiTheme="majorHAnsi" w:hAnsiTheme="majorHAnsi" w:cstheme="majorHAnsi"/>
          <w:bCs/>
          <w:sz w:val="24"/>
          <w:szCs w:val="24"/>
        </w:rPr>
        <w:t xml:space="preserve">regional </w:t>
      </w:r>
      <w:r w:rsidR="00452A94" w:rsidRPr="00B158D9">
        <w:rPr>
          <w:rFonts w:asciiTheme="majorHAnsi" w:hAnsiTheme="majorHAnsi" w:cstheme="majorHAnsi"/>
          <w:bCs/>
          <w:sz w:val="24"/>
          <w:szCs w:val="24"/>
        </w:rPr>
        <w:t>teams are not structured the same</w:t>
      </w:r>
      <w:r w:rsidR="00B158D9" w:rsidRPr="00B158D9">
        <w:rPr>
          <w:rFonts w:asciiTheme="majorHAnsi" w:hAnsiTheme="majorHAnsi" w:cstheme="majorHAnsi"/>
          <w:bCs/>
          <w:sz w:val="24"/>
          <w:szCs w:val="24"/>
        </w:rPr>
        <w:t>, and do not</w:t>
      </w:r>
      <w:r w:rsidR="00452A94" w:rsidRPr="00B158D9">
        <w:rPr>
          <w:rFonts w:asciiTheme="majorHAnsi" w:hAnsiTheme="majorHAnsi" w:cstheme="majorHAnsi"/>
          <w:bCs/>
          <w:sz w:val="24"/>
          <w:szCs w:val="24"/>
        </w:rPr>
        <w:t xml:space="preserve"> </w:t>
      </w:r>
      <w:r w:rsidR="00B158D9" w:rsidRPr="00B158D9">
        <w:rPr>
          <w:rFonts w:asciiTheme="majorHAnsi" w:hAnsiTheme="majorHAnsi" w:cstheme="majorHAnsi"/>
          <w:bCs/>
          <w:sz w:val="24"/>
          <w:szCs w:val="24"/>
        </w:rPr>
        <w:t>cover the same counties.  There are some DCBS regions that have</w:t>
      </w:r>
      <w:r w:rsidR="00452A94" w:rsidRPr="00B158D9">
        <w:rPr>
          <w:rFonts w:asciiTheme="majorHAnsi" w:hAnsiTheme="majorHAnsi" w:cstheme="majorHAnsi"/>
          <w:bCs/>
          <w:sz w:val="24"/>
          <w:szCs w:val="24"/>
        </w:rPr>
        <w:t xml:space="preserve"> two APS teams and th</w:t>
      </w:r>
      <w:r w:rsidR="00461B66" w:rsidRPr="00B158D9">
        <w:rPr>
          <w:rFonts w:asciiTheme="majorHAnsi" w:hAnsiTheme="majorHAnsi" w:cstheme="majorHAnsi"/>
          <w:bCs/>
          <w:sz w:val="24"/>
          <w:szCs w:val="24"/>
        </w:rPr>
        <w:t xml:space="preserve">e two </w:t>
      </w:r>
      <w:r w:rsidR="00452A94" w:rsidRPr="00B158D9">
        <w:rPr>
          <w:rFonts w:asciiTheme="majorHAnsi" w:hAnsiTheme="majorHAnsi" w:cstheme="majorHAnsi"/>
          <w:bCs/>
          <w:sz w:val="24"/>
          <w:szCs w:val="24"/>
        </w:rPr>
        <w:t xml:space="preserve">teams consult with </w:t>
      </w:r>
      <w:r w:rsidR="00490D8C" w:rsidRPr="00B158D9">
        <w:rPr>
          <w:rFonts w:asciiTheme="majorHAnsi" w:hAnsiTheme="majorHAnsi" w:cstheme="majorHAnsi"/>
          <w:bCs/>
          <w:sz w:val="24"/>
          <w:szCs w:val="24"/>
        </w:rPr>
        <w:t xml:space="preserve">a </w:t>
      </w:r>
      <w:r w:rsidR="00B158D9" w:rsidRPr="00B158D9">
        <w:rPr>
          <w:rFonts w:asciiTheme="majorHAnsi" w:hAnsiTheme="majorHAnsi" w:cstheme="majorHAnsi"/>
          <w:bCs/>
          <w:sz w:val="24"/>
          <w:szCs w:val="24"/>
        </w:rPr>
        <w:t>different g</w:t>
      </w:r>
      <w:r w:rsidR="00452A94" w:rsidRPr="00B158D9">
        <w:rPr>
          <w:rFonts w:asciiTheme="majorHAnsi" w:hAnsiTheme="majorHAnsi" w:cstheme="majorHAnsi"/>
          <w:bCs/>
          <w:sz w:val="24"/>
          <w:szCs w:val="24"/>
        </w:rPr>
        <w:t>uardianship team</w:t>
      </w:r>
      <w:r w:rsidR="00490D8C" w:rsidRPr="00B158D9">
        <w:rPr>
          <w:rFonts w:asciiTheme="majorHAnsi" w:hAnsiTheme="majorHAnsi" w:cstheme="majorHAnsi"/>
          <w:bCs/>
          <w:sz w:val="24"/>
          <w:szCs w:val="24"/>
        </w:rPr>
        <w:t xml:space="preserve">. </w:t>
      </w:r>
    </w:p>
    <w:p w14:paraId="5BCBB5A8" w14:textId="77777777" w:rsidR="00E67680" w:rsidRPr="00B158D9" w:rsidRDefault="00E67680" w:rsidP="00E67680">
      <w:pPr>
        <w:pStyle w:val="ListParagraph"/>
        <w:spacing w:before="100" w:beforeAutospacing="1" w:after="100" w:afterAutospacing="1" w:line="240" w:lineRule="auto"/>
        <w:rPr>
          <w:rFonts w:asciiTheme="majorHAnsi" w:hAnsiTheme="majorHAnsi" w:cstheme="majorHAnsi"/>
          <w:b/>
          <w:sz w:val="24"/>
          <w:szCs w:val="24"/>
        </w:rPr>
      </w:pPr>
    </w:p>
    <w:p w14:paraId="23B47705" w14:textId="55E5611F" w:rsidR="00D00960" w:rsidRPr="00B158D9" w:rsidRDefault="00D00960" w:rsidP="00B158D9">
      <w:pPr>
        <w:pStyle w:val="ListParagraph"/>
        <w:spacing w:before="100" w:beforeAutospacing="1" w:after="100" w:afterAutospacing="1" w:line="240" w:lineRule="auto"/>
        <w:ind w:left="0"/>
        <w:rPr>
          <w:rFonts w:asciiTheme="majorHAnsi" w:hAnsiTheme="majorHAnsi" w:cstheme="majorHAnsi"/>
          <w:b/>
          <w:sz w:val="24"/>
          <w:szCs w:val="24"/>
        </w:rPr>
      </w:pPr>
      <w:r w:rsidRPr="00B158D9">
        <w:rPr>
          <w:rFonts w:asciiTheme="majorHAnsi" w:hAnsiTheme="majorHAnsi" w:cstheme="majorHAnsi"/>
          <w:b/>
          <w:sz w:val="24"/>
          <w:szCs w:val="24"/>
          <w:u w:val="single"/>
        </w:rPr>
        <w:t xml:space="preserve">SOP 20.8 Investigations Involving </w:t>
      </w:r>
      <w:r w:rsidR="00BE2E0A" w:rsidRPr="00B158D9">
        <w:rPr>
          <w:rFonts w:asciiTheme="majorHAnsi" w:hAnsiTheme="majorHAnsi" w:cstheme="majorHAnsi"/>
          <w:b/>
          <w:sz w:val="24"/>
          <w:szCs w:val="24"/>
          <w:u w:val="single"/>
        </w:rPr>
        <w:t>the Department</w:t>
      </w:r>
      <w:r w:rsidRPr="00B158D9">
        <w:rPr>
          <w:rFonts w:asciiTheme="majorHAnsi" w:hAnsiTheme="majorHAnsi" w:cstheme="majorHAnsi"/>
          <w:b/>
          <w:sz w:val="24"/>
          <w:szCs w:val="24"/>
          <w:u w:val="single"/>
        </w:rPr>
        <w:t xml:space="preserve"> for Aging and Independent Living (DAIL) Division of Guardianship Employees</w:t>
      </w:r>
    </w:p>
    <w:p w14:paraId="0C348998" w14:textId="17AA21D8" w:rsidR="00BE2E0A" w:rsidRPr="00B158D9" w:rsidRDefault="00BE2E0A" w:rsidP="00D00960">
      <w:pPr>
        <w:rPr>
          <w:rFonts w:asciiTheme="majorHAnsi" w:hAnsiTheme="majorHAnsi" w:cstheme="majorHAnsi"/>
          <w:sz w:val="24"/>
          <w:szCs w:val="24"/>
        </w:rPr>
      </w:pPr>
      <w:r w:rsidRPr="00B158D9">
        <w:rPr>
          <w:rFonts w:asciiTheme="majorHAnsi" w:hAnsiTheme="majorHAnsi" w:cstheme="majorHAnsi"/>
          <w:sz w:val="24"/>
          <w:szCs w:val="24"/>
        </w:rPr>
        <w:t xml:space="preserve"> No comments</w:t>
      </w:r>
    </w:p>
    <w:p w14:paraId="0F21D8DD" w14:textId="2CC335BF" w:rsidR="006C2AC9" w:rsidRPr="00B158D9" w:rsidRDefault="006C2AC9" w:rsidP="006C2AC9">
      <w:pPr>
        <w:rPr>
          <w:rFonts w:asciiTheme="majorHAnsi" w:hAnsiTheme="majorHAnsi" w:cstheme="majorHAnsi"/>
          <w:b/>
          <w:sz w:val="24"/>
          <w:szCs w:val="24"/>
          <w:u w:val="single"/>
        </w:rPr>
      </w:pPr>
    </w:p>
    <w:sectPr w:rsidR="006C2AC9" w:rsidRPr="00B1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726"/>
    <w:multiLevelType w:val="multilevel"/>
    <w:tmpl w:val="4C420990"/>
    <w:lvl w:ilvl="0">
      <w:start w:val="5"/>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 w15:restartNumberingAfterBreak="0">
    <w:nsid w:val="0970474A"/>
    <w:multiLevelType w:val="hybridMultilevel"/>
    <w:tmpl w:val="5D7CF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82425"/>
    <w:multiLevelType w:val="hybridMultilevel"/>
    <w:tmpl w:val="B40227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15087C"/>
    <w:multiLevelType w:val="multilevel"/>
    <w:tmpl w:val="3D4878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4812D4D"/>
    <w:multiLevelType w:val="multilevel"/>
    <w:tmpl w:val="C9381C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61D54"/>
    <w:multiLevelType w:val="hybridMultilevel"/>
    <w:tmpl w:val="97D8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CB2530"/>
    <w:multiLevelType w:val="multilevel"/>
    <w:tmpl w:val="9A4E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31554C"/>
    <w:multiLevelType w:val="hybridMultilevel"/>
    <w:tmpl w:val="22DC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0D2D8F"/>
    <w:multiLevelType w:val="hybridMultilevel"/>
    <w:tmpl w:val="029A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D71ED"/>
    <w:multiLevelType w:val="multilevel"/>
    <w:tmpl w:val="C1125C0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3DCA3B5A"/>
    <w:multiLevelType w:val="hybridMultilevel"/>
    <w:tmpl w:val="43941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E5030FC"/>
    <w:multiLevelType w:val="hybridMultilevel"/>
    <w:tmpl w:val="C8447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7E6BD9"/>
    <w:multiLevelType w:val="multilevel"/>
    <w:tmpl w:val="6DC0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8E6A17"/>
    <w:multiLevelType w:val="hybridMultilevel"/>
    <w:tmpl w:val="BACCB5BC"/>
    <w:lvl w:ilvl="0" w:tplc="D056FEA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9649C"/>
    <w:multiLevelType w:val="hybridMultilevel"/>
    <w:tmpl w:val="2142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723221"/>
    <w:multiLevelType w:val="hybridMultilevel"/>
    <w:tmpl w:val="BACCB5BC"/>
    <w:lvl w:ilvl="0" w:tplc="D056FEA0">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3525B"/>
    <w:multiLevelType w:val="hybridMultilevel"/>
    <w:tmpl w:val="67825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7244C2"/>
    <w:multiLevelType w:val="multilevel"/>
    <w:tmpl w:val="0554D7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2322C81"/>
    <w:multiLevelType w:val="hybridMultilevel"/>
    <w:tmpl w:val="5A6654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E4E8A"/>
    <w:multiLevelType w:val="multilevel"/>
    <w:tmpl w:val="B98602E6"/>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5"/>
  </w:num>
  <w:num w:numId="2">
    <w:abstractNumId w:val="17"/>
  </w:num>
  <w:num w:numId="3">
    <w:abstractNumId w:val="1"/>
  </w:num>
  <w:num w:numId="4">
    <w:abstractNumId w:val="10"/>
  </w:num>
  <w:num w:numId="5">
    <w:abstractNumId w:val="5"/>
  </w:num>
  <w:num w:numId="6">
    <w:abstractNumId w:val="8"/>
  </w:num>
  <w:num w:numId="7">
    <w:abstractNumId w:val="14"/>
  </w:num>
  <w:num w:numId="8">
    <w:abstractNumId w:val="3"/>
  </w:num>
  <w:num w:numId="9">
    <w:abstractNumId w:val="4"/>
  </w:num>
  <w:num w:numId="10">
    <w:abstractNumId w:val="12"/>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1"/>
  </w:num>
  <w:num w:numId="19">
    <w:abstractNumId w:val="18"/>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MqoFALiQ7e4tAAAA"/>
  </w:docVars>
  <w:rsids>
    <w:rsidRoot w:val="004A49AB"/>
    <w:rsid w:val="00005640"/>
    <w:rsid w:val="000221AC"/>
    <w:rsid w:val="00053CFF"/>
    <w:rsid w:val="000623AD"/>
    <w:rsid w:val="000F69DE"/>
    <w:rsid w:val="00105BB0"/>
    <w:rsid w:val="001517FE"/>
    <w:rsid w:val="00192F41"/>
    <w:rsid w:val="001A2A62"/>
    <w:rsid w:val="001C3183"/>
    <w:rsid w:val="001D2536"/>
    <w:rsid w:val="001F3CDF"/>
    <w:rsid w:val="001F41C5"/>
    <w:rsid w:val="001F5873"/>
    <w:rsid w:val="00207351"/>
    <w:rsid w:val="00207745"/>
    <w:rsid w:val="00251039"/>
    <w:rsid w:val="0026086A"/>
    <w:rsid w:val="002869E9"/>
    <w:rsid w:val="00286D7F"/>
    <w:rsid w:val="002B762F"/>
    <w:rsid w:val="002F2EBA"/>
    <w:rsid w:val="002F63DC"/>
    <w:rsid w:val="00342CEA"/>
    <w:rsid w:val="003437BB"/>
    <w:rsid w:val="003455A2"/>
    <w:rsid w:val="003609F1"/>
    <w:rsid w:val="00362E1A"/>
    <w:rsid w:val="00371EBD"/>
    <w:rsid w:val="00376BCC"/>
    <w:rsid w:val="003A615A"/>
    <w:rsid w:val="003D39A4"/>
    <w:rsid w:val="004007D1"/>
    <w:rsid w:val="00420EDC"/>
    <w:rsid w:val="00452A94"/>
    <w:rsid w:val="0045550B"/>
    <w:rsid w:val="00461B66"/>
    <w:rsid w:val="004766E5"/>
    <w:rsid w:val="00490D8C"/>
    <w:rsid w:val="004A07B6"/>
    <w:rsid w:val="004A49AB"/>
    <w:rsid w:val="004B0CDE"/>
    <w:rsid w:val="004D4B7E"/>
    <w:rsid w:val="004E10F3"/>
    <w:rsid w:val="004E3B69"/>
    <w:rsid w:val="00521B70"/>
    <w:rsid w:val="00550A03"/>
    <w:rsid w:val="0057517A"/>
    <w:rsid w:val="0057728E"/>
    <w:rsid w:val="00583CFB"/>
    <w:rsid w:val="0059218F"/>
    <w:rsid w:val="005974C4"/>
    <w:rsid w:val="005A4E87"/>
    <w:rsid w:val="005B09C9"/>
    <w:rsid w:val="005B7E1E"/>
    <w:rsid w:val="005D51E1"/>
    <w:rsid w:val="005F04A7"/>
    <w:rsid w:val="005F21CC"/>
    <w:rsid w:val="006242CB"/>
    <w:rsid w:val="00653494"/>
    <w:rsid w:val="00666CA6"/>
    <w:rsid w:val="006C19BA"/>
    <w:rsid w:val="006C2AC9"/>
    <w:rsid w:val="006C70C9"/>
    <w:rsid w:val="00702A22"/>
    <w:rsid w:val="00716182"/>
    <w:rsid w:val="007442FC"/>
    <w:rsid w:val="0075574A"/>
    <w:rsid w:val="00765911"/>
    <w:rsid w:val="00780DD9"/>
    <w:rsid w:val="007946B1"/>
    <w:rsid w:val="007B5F03"/>
    <w:rsid w:val="007F4A3C"/>
    <w:rsid w:val="00805A91"/>
    <w:rsid w:val="00875C52"/>
    <w:rsid w:val="00882EEE"/>
    <w:rsid w:val="008E5B7F"/>
    <w:rsid w:val="008F5B85"/>
    <w:rsid w:val="0093141B"/>
    <w:rsid w:val="00A00E14"/>
    <w:rsid w:val="00A06021"/>
    <w:rsid w:val="00A07BBC"/>
    <w:rsid w:val="00A174A4"/>
    <w:rsid w:val="00A34260"/>
    <w:rsid w:val="00A56E8E"/>
    <w:rsid w:val="00A8339D"/>
    <w:rsid w:val="00A95674"/>
    <w:rsid w:val="00AD2B2D"/>
    <w:rsid w:val="00B02CA3"/>
    <w:rsid w:val="00B07426"/>
    <w:rsid w:val="00B158D9"/>
    <w:rsid w:val="00B32FC5"/>
    <w:rsid w:val="00B33500"/>
    <w:rsid w:val="00B5321A"/>
    <w:rsid w:val="00B765F4"/>
    <w:rsid w:val="00B92FB2"/>
    <w:rsid w:val="00B9565D"/>
    <w:rsid w:val="00BC536E"/>
    <w:rsid w:val="00BE2E0A"/>
    <w:rsid w:val="00C02D42"/>
    <w:rsid w:val="00C03A1D"/>
    <w:rsid w:val="00C20D48"/>
    <w:rsid w:val="00C33AA7"/>
    <w:rsid w:val="00C36739"/>
    <w:rsid w:val="00C44A31"/>
    <w:rsid w:val="00C576D2"/>
    <w:rsid w:val="00C65DE0"/>
    <w:rsid w:val="00C806AC"/>
    <w:rsid w:val="00CF5A14"/>
    <w:rsid w:val="00D00960"/>
    <w:rsid w:val="00D51B9C"/>
    <w:rsid w:val="00D550C6"/>
    <w:rsid w:val="00D72313"/>
    <w:rsid w:val="00D74164"/>
    <w:rsid w:val="00D81621"/>
    <w:rsid w:val="00DA0856"/>
    <w:rsid w:val="00DA6A37"/>
    <w:rsid w:val="00DB7BFF"/>
    <w:rsid w:val="00DE505F"/>
    <w:rsid w:val="00DF5C47"/>
    <w:rsid w:val="00E07F79"/>
    <w:rsid w:val="00E20049"/>
    <w:rsid w:val="00E32D46"/>
    <w:rsid w:val="00E67680"/>
    <w:rsid w:val="00E83947"/>
    <w:rsid w:val="00E90D19"/>
    <w:rsid w:val="00EE1391"/>
    <w:rsid w:val="00F050D6"/>
    <w:rsid w:val="00F33A03"/>
    <w:rsid w:val="00F579E2"/>
    <w:rsid w:val="00F70A10"/>
    <w:rsid w:val="00FA43AC"/>
    <w:rsid w:val="00FC69FB"/>
    <w:rsid w:val="00FE3CA8"/>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paragraph" w:styleId="Heading3">
    <w:name w:val="heading 3"/>
    <w:basedOn w:val="Normal"/>
    <w:next w:val="Normal"/>
    <w:link w:val="Heading3Char"/>
    <w:uiPriority w:val="9"/>
    <w:semiHidden/>
    <w:unhideWhenUsed/>
    <w:qFormat/>
    <w:rsid w:val="00E676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46B1"/>
    <w:rPr>
      <w:color w:val="954F72" w:themeColor="followedHyperlink"/>
      <w:u w:val="single"/>
    </w:rPr>
  </w:style>
  <w:style w:type="character" w:styleId="Strong">
    <w:name w:val="Strong"/>
    <w:basedOn w:val="DefaultParagraphFont"/>
    <w:uiPriority w:val="22"/>
    <w:qFormat/>
    <w:rsid w:val="00B02CA3"/>
    <w:rPr>
      <w:b/>
      <w:bCs/>
    </w:rPr>
  </w:style>
  <w:style w:type="character" w:customStyle="1" w:styleId="Heading3Char">
    <w:name w:val="Heading 3 Char"/>
    <w:basedOn w:val="DefaultParagraphFont"/>
    <w:link w:val="Heading3"/>
    <w:uiPriority w:val="9"/>
    <w:semiHidden/>
    <w:rsid w:val="00E676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546">
      <w:bodyDiv w:val="1"/>
      <w:marLeft w:val="0"/>
      <w:marRight w:val="0"/>
      <w:marTop w:val="0"/>
      <w:marBottom w:val="0"/>
      <w:divBdr>
        <w:top w:val="none" w:sz="0" w:space="0" w:color="auto"/>
        <w:left w:val="none" w:sz="0" w:space="0" w:color="auto"/>
        <w:bottom w:val="none" w:sz="0" w:space="0" w:color="auto"/>
        <w:right w:val="none" w:sz="0" w:space="0" w:color="auto"/>
      </w:divBdr>
    </w:div>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131291077">
      <w:bodyDiv w:val="1"/>
      <w:marLeft w:val="0"/>
      <w:marRight w:val="0"/>
      <w:marTop w:val="0"/>
      <w:marBottom w:val="0"/>
      <w:divBdr>
        <w:top w:val="none" w:sz="0" w:space="0" w:color="auto"/>
        <w:left w:val="none" w:sz="0" w:space="0" w:color="auto"/>
        <w:bottom w:val="none" w:sz="0" w:space="0" w:color="auto"/>
        <w:right w:val="none" w:sz="0" w:space="0" w:color="auto"/>
      </w:divBdr>
    </w:div>
    <w:div w:id="156044783">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282732892">
      <w:bodyDiv w:val="1"/>
      <w:marLeft w:val="0"/>
      <w:marRight w:val="0"/>
      <w:marTop w:val="0"/>
      <w:marBottom w:val="0"/>
      <w:divBdr>
        <w:top w:val="none" w:sz="0" w:space="0" w:color="auto"/>
        <w:left w:val="none" w:sz="0" w:space="0" w:color="auto"/>
        <w:bottom w:val="none" w:sz="0" w:space="0" w:color="auto"/>
        <w:right w:val="none" w:sz="0" w:space="0" w:color="auto"/>
      </w:divBdr>
    </w:div>
    <w:div w:id="302540562">
      <w:bodyDiv w:val="1"/>
      <w:marLeft w:val="0"/>
      <w:marRight w:val="0"/>
      <w:marTop w:val="0"/>
      <w:marBottom w:val="0"/>
      <w:divBdr>
        <w:top w:val="none" w:sz="0" w:space="0" w:color="auto"/>
        <w:left w:val="none" w:sz="0" w:space="0" w:color="auto"/>
        <w:bottom w:val="none" w:sz="0" w:space="0" w:color="auto"/>
        <w:right w:val="none" w:sz="0" w:space="0" w:color="auto"/>
      </w:divBdr>
      <w:divsChild>
        <w:div w:id="1592666375">
          <w:marLeft w:val="0"/>
          <w:marRight w:val="0"/>
          <w:marTop w:val="0"/>
          <w:marBottom w:val="0"/>
          <w:divBdr>
            <w:top w:val="none" w:sz="0" w:space="0" w:color="auto"/>
            <w:left w:val="none" w:sz="0" w:space="0" w:color="auto"/>
            <w:bottom w:val="none" w:sz="0" w:space="0" w:color="auto"/>
            <w:right w:val="none" w:sz="0" w:space="0" w:color="auto"/>
          </w:divBdr>
        </w:div>
      </w:divsChild>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89042890">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640571710">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794299224">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75387572">
      <w:bodyDiv w:val="1"/>
      <w:marLeft w:val="0"/>
      <w:marRight w:val="0"/>
      <w:marTop w:val="0"/>
      <w:marBottom w:val="0"/>
      <w:divBdr>
        <w:top w:val="none" w:sz="0" w:space="0" w:color="auto"/>
        <w:left w:val="none" w:sz="0" w:space="0" w:color="auto"/>
        <w:bottom w:val="none" w:sz="0" w:space="0" w:color="auto"/>
        <w:right w:val="none" w:sz="0" w:space="0" w:color="auto"/>
      </w:divBdr>
    </w:div>
    <w:div w:id="885722819">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48439268">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12614200">
      <w:bodyDiv w:val="1"/>
      <w:marLeft w:val="0"/>
      <w:marRight w:val="0"/>
      <w:marTop w:val="0"/>
      <w:marBottom w:val="0"/>
      <w:divBdr>
        <w:top w:val="none" w:sz="0" w:space="0" w:color="auto"/>
        <w:left w:val="none" w:sz="0" w:space="0" w:color="auto"/>
        <w:bottom w:val="none" w:sz="0" w:space="0" w:color="auto"/>
        <w:right w:val="none" w:sz="0" w:space="0" w:color="auto"/>
      </w:divBdr>
      <w:divsChild>
        <w:div w:id="1518343948">
          <w:marLeft w:val="0"/>
          <w:marRight w:val="0"/>
          <w:marTop w:val="0"/>
          <w:marBottom w:val="0"/>
          <w:divBdr>
            <w:top w:val="none" w:sz="0" w:space="0" w:color="auto"/>
            <w:left w:val="none" w:sz="0" w:space="0" w:color="auto"/>
            <w:bottom w:val="none" w:sz="0" w:space="0" w:color="auto"/>
            <w:right w:val="none" w:sz="0" w:space="0" w:color="auto"/>
          </w:divBdr>
        </w:div>
      </w:divsChild>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32929734">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47294228">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76084025">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02432426">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595162315">
      <w:bodyDiv w:val="1"/>
      <w:marLeft w:val="0"/>
      <w:marRight w:val="0"/>
      <w:marTop w:val="0"/>
      <w:marBottom w:val="0"/>
      <w:divBdr>
        <w:top w:val="none" w:sz="0" w:space="0" w:color="auto"/>
        <w:left w:val="none" w:sz="0" w:space="0" w:color="auto"/>
        <w:bottom w:val="none" w:sz="0" w:space="0" w:color="auto"/>
        <w:right w:val="none" w:sz="0" w:space="0" w:color="auto"/>
      </w:divBdr>
    </w:div>
    <w:div w:id="1615594058">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32119596">
      <w:bodyDiv w:val="1"/>
      <w:marLeft w:val="0"/>
      <w:marRight w:val="0"/>
      <w:marTop w:val="0"/>
      <w:marBottom w:val="0"/>
      <w:divBdr>
        <w:top w:val="none" w:sz="0" w:space="0" w:color="auto"/>
        <w:left w:val="none" w:sz="0" w:space="0" w:color="auto"/>
        <w:bottom w:val="none" w:sz="0" w:space="0" w:color="auto"/>
        <w:right w:val="none" w:sz="0" w:space="0" w:color="auto"/>
      </w:divBdr>
      <w:divsChild>
        <w:div w:id="468742463">
          <w:marLeft w:val="0"/>
          <w:marRight w:val="0"/>
          <w:marTop w:val="0"/>
          <w:marBottom w:val="0"/>
          <w:divBdr>
            <w:top w:val="none" w:sz="0" w:space="0" w:color="auto"/>
            <w:left w:val="none" w:sz="0" w:space="0" w:color="auto"/>
            <w:bottom w:val="none" w:sz="0" w:space="0" w:color="auto"/>
            <w:right w:val="none" w:sz="0" w:space="0" w:color="auto"/>
          </w:divBdr>
        </w:div>
        <w:div w:id="546113552">
          <w:marLeft w:val="0"/>
          <w:marRight w:val="0"/>
          <w:marTop w:val="0"/>
          <w:marBottom w:val="0"/>
          <w:divBdr>
            <w:top w:val="none" w:sz="0" w:space="0" w:color="auto"/>
            <w:left w:val="none" w:sz="0" w:space="0" w:color="auto"/>
            <w:bottom w:val="none" w:sz="0" w:space="0" w:color="auto"/>
            <w:right w:val="none" w:sz="0" w:space="0" w:color="auto"/>
          </w:divBdr>
        </w:div>
        <w:div w:id="1311055693">
          <w:marLeft w:val="0"/>
          <w:marRight w:val="0"/>
          <w:marTop w:val="0"/>
          <w:marBottom w:val="0"/>
          <w:divBdr>
            <w:top w:val="none" w:sz="0" w:space="0" w:color="auto"/>
            <w:left w:val="none" w:sz="0" w:space="0" w:color="auto"/>
            <w:bottom w:val="none" w:sz="0" w:space="0" w:color="auto"/>
            <w:right w:val="none" w:sz="0" w:space="0" w:color="auto"/>
          </w:divBdr>
        </w:div>
      </w:divsChild>
    </w:div>
    <w:div w:id="1761214747">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64198428">
      <w:bodyDiv w:val="1"/>
      <w:marLeft w:val="0"/>
      <w:marRight w:val="0"/>
      <w:marTop w:val="0"/>
      <w:marBottom w:val="0"/>
      <w:divBdr>
        <w:top w:val="none" w:sz="0" w:space="0" w:color="auto"/>
        <w:left w:val="none" w:sz="0" w:space="0" w:color="auto"/>
        <w:bottom w:val="none" w:sz="0" w:space="0" w:color="auto"/>
        <w:right w:val="none" w:sz="0" w:space="0" w:color="auto"/>
      </w:divBdr>
    </w:div>
    <w:div w:id="1870291559">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85180189">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 w:id="21470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outingRule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EA6C-1DD8-4E61-8C84-5B7C594D2EFD}"/>
</file>

<file path=customXml/itemProps2.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3.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4.xml><?xml version="1.0" encoding="utf-8"?>
<ds:datastoreItem xmlns:ds="http://schemas.openxmlformats.org/officeDocument/2006/customXml" ds:itemID="{B4EEFA43-D8B6-484C-99F9-97D1EBA6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21-29 Statement of Consideration for SOP 19.3.1 and SOP 20.8</dc:title>
  <dc:subject/>
  <dc:creator>Cubert, Julie M (CHFS DCBS DPP)</dc:creator>
  <cp:keywords/>
  <dc:description/>
  <cp:lastModifiedBy>Cubert, Julie M (CHFS DCBS DPP)</cp:lastModifiedBy>
  <cp:revision>4</cp:revision>
  <cp:lastPrinted>2019-07-17T17:01:00Z</cp:lastPrinted>
  <dcterms:created xsi:type="dcterms:W3CDTF">2021-06-24T12:45:00Z</dcterms:created>
  <dcterms:modified xsi:type="dcterms:W3CDTF">2021-06-25T11:42:00Z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2021</vt:lpwstr>
  </property>
  <property fmtid="{D5CDD505-2E9C-101B-9397-08002B2CF9AE}" pid="17" name="Memo Types">
    <vt:lpwstr>PPTL</vt:lpwstr>
  </property>
</Properties>
</file>